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B9C" w:rsidRDefault="00F00B9C"/>
    <w:p w:rsidR="00F00B9C" w:rsidRDefault="00F00B9C"/>
    <w:p w:rsidR="00F00B9C" w:rsidRDefault="00F00B9C"/>
    <w:p w:rsidR="00F00B9C" w:rsidRDefault="00F00B9C"/>
    <w:p w:rsidR="00F00B9C" w:rsidRDefault="00F00B9C"/>
    <w:p w:rsidR="00F00B9C" w:rsidRDefault="00F00B9C"/>
    <w:p w:rsidR="00F00B9C" w:rsidRDefault="00F00B9C"/>
    <w:p w:rsidR="00F00B9C" w:rsidRDefault="00F00B9C"/>
    <w:p w:rsidR="00F00B9C" w:rsidRDefault="00F00B9C" w:rsidP="00F00B9C">
      <w:pPr>
        <w:jc w:val="center"/>
      </w:pPr>
    </w:p>
    <w:p w:rsidR="00F00B9C" w:rsidRDefault="00F00B9C" w:rsidP="00F00B9C">
      <w:pPr>
        <w:jc w:val="center"/>
      </w:pPr>
      <w:r>
        <w:t>Relationship between FMS and MVPA in Children within School Hours</w:t>
      </w:r>
    </w:p>
    <w:p w:rsidR="00F00B9C" w:rsidRDefault="00F00B9C" w:rsidP="00F00B9C">
      <w:pPr>
        <w:jc w:val="center"/>
      </w:pPr>
      <w:r>
        <w:t>Name of Student</w:t>
      </w:r>
    </w:p>
    <w:p w:rsidR="00F00B9C" w:rsidRDefault="00F00B9C" w:rsidP="00F00B9C">
      <w:pPr>
        <w:jc w:val="center"/>
      </w:pPr>
      <w:r>
        <w:t>Name of Institution</w:t>
      </w:r>
    </w:p>
    <w:p w:rsidR="00F00B9C" w:rsidRDefault="00F00B9C" w:rsidP="00F00B9C">
      <w:pPr>
        <w:jc w:val="center"/>
      </w:pPr>
      <w:r>
        <w:t>Date</w:t>
      </w:r>
      <w:r>
        <w:br w:type="page"/>
      </w:r>
    </w:p>
    <w:p w:rsidR="001C7288" w:rsidRDefault="001C7288" w:rsidP="00F00B9C">
      <w:pPr>
        <w:pStyle w:val="ListParagraph"/>
        <w:numPr>
          <w:ilvl w:val="0"/>
          <w:numId w:val="1"/>
        </w:numPr>
      </w:pPr>
      <w:r>
        <w:lastRenderedPageBreak/>
        <w:t>Motor skill proficiency</w:t>
      </w:r>
      <w:r w:rsidR="00E20C50">
        <w:t xml:space="preserve"> describes the aptitude for the children in the study in their movements and actions of their bone structures in coordination </w:t>
      </w:r>
      <w:sdt>
        <w:sdtPr>
          <w:id w:val="-175582315"/>
          <w:citation/>
        </w:sdtPr>
        <w:sdtEndPr/>
        <w:sdtContent>
          <w:r w:rsidR="00E20C50">
            <w:fldChar w:fldCharType="begin"/>
          </w:r>
          <w:r w:rsidR="00E20C50">
            <w:instrText xml:space="preserve"> CITATION Cra15 \l 1033 </w:instrText>
          </w:r>
          <w:r w:rsidR="00E20C50">
            <w:fldChar w:fldCharType="separate"/>
          </w:r>
          <w:r w:rsidR="00E20C50">
            <w:rPr>
              <w:noProof/>
            </w:rPr>
            <w:t>(Crane, Naylor, Cook, &amp; Temple, 2015)</w:t>
          </w:r>
          <w:r w:rsidR="00E20C50">
            <w:fldChar w:fldCharType="end"/>
          </w:r>
        </w:sdtContent>
      </w:sdt>
      <w:r w:rsidR="00E20C50">
        <w:t>.</w:t>
      </w:r>
    </w:p>
    <w:p w:rsidR="001C7288" w:rsidRDefault="00E20C50" w:rsidP="00F00B9C">
      <w:pPr>
        <w:pStyle w:val="ListParagraph"/>
        <w:numPr>
          <w:ilvl w:val="0"/>
          <w:numId w:val="1"/>
        </w:numPr>
      </w:pPr>
      <w:r>
        <w:t>A</w:t>
      </w:r>
      <w:r w:rsidR="001C7288">
        <w:t>ctigraph</w:t>
      </w:r>
      <w:r>
        <w:t xml:space="preserve"> a wrist device used in recording of the body’s physical activity level relevant </w:t>
      </w:r>
      <w:sdt>
        <w:sdtPr>
          <w:id w:val="182412632"/>
          <w:citation/>
        </w:sdtPr>
        <w:sdtEndPr/>
        <w:sdtContent>
          <w:r w:rsidR="00F87A81">
            <w:fldChar w:fldCharType="begin"/>
          </w:r>
          <w:r w:rsidR="00F87A81">
            <w:instrText xml:space="preserve"> CITATION Anc15 \l 1033 </w:instrText>
          </w:r>
          <w:r w:rsidR="00F87A81">
            <w:fldChar w:fldCharType="separate"/>
          </w:r>
          <w:r w:rsidR="00F87A81">
            <w:rPr>
              <w:noProof/>
            </w:rPr>
            <w:t>(Ancoli-Israel, et al., 2015)</w:t>
          </w:r>
          <w:r w:rsidR="00F87A81">
            <w:fldChar w:fldCharType="end"/>
          </w:r>
        </w:sdtContent>
      </w:sdt>
      <w:r>
        <w:t xml:space="preserve">. </w:t>
      </w:r>
    </w:p>
    <w:p w:rsidR="001C7288" w:rsidRDefault="001C7288" w:rsidP="00F00B9C">
      <w:pPr>
        <w:pStyle w:val="ListParagraph"/>
        <w:numPr>
          <w:ilvl w:val="0"/>
          <w:numId w:val="1"/>
        </w:numPr>
      </w:pPr>
      <w:r>
        <w:t>Accelerometers</w:t>
      </w:r>
      <w:r w:rsidR="00E20C50">
        <w:t xml:space="preserve"> is a tool that measures the energy expended by the body relevant to activities spent of differing intensity of the children in their physical activity </w:t>
      </w:r>
      <w:sdt>
        <w:sdtPr>
          <w:id w:val="300895063"/>
          <w:citation/>
        </w:sdtPr>
        <w:sdtEndPr/>
        <w:sdtContent>
          <w:r w:rsidR="00E20C50">
            <w:fldChar w:fldCharType="begin"/>
          </w:r>
          <w:r w:rsidR="00E20C50">
            <w:instrText xml:space="preserve"> CITATION Sko14 \l 1033 </w:instrText>
          </w:r>
          <w:r w:rsidR="00E20C50">
            <w:fldChar w:fldCharType="separate"/>
          </w:r>
          <w:r w:rsidR="00E20C50">
            <w:rPr>
              <w:noProof/>
            </w:rPr>
            <w:t>(Skotte, Korshoj, Kristiansen, Hanisch, &amp; Holtermann, 2014)</w:t>
          </w:r>
          <w:r w:rsidR="00E20C50">
            <w:fldChar w:fldCharType="end"/>
          </w:r>
        </w:sdtContent>
      </w:sdt>
      <w:r w:rsidR="00E20C50">
        <w:t xml:space="preserve">. </w:t>
      </w:r>
    </w:p>
    <w:p w:rsidR="001C7288" w:rsidRDefault="00F00B9C" w:rsidP="00F00B9C">
      <w:pPr>
        <w:pStyle w:val="ListParagraph"/>
        <w:numPr>
          <w:ilvl w:val="0"/>
          <w:numId w:val="1"/>
        </w:numPr>
      </w:pPr>
      <w:r>
        <w:t>P</w:t>
      </w:r>
      <w:r w:rsidR="00EE5F9D">
        <w:t>edagogical strategies</w:t>
      </w:r>
      <w:r w:rsidR="00F87A81">
        <w:t xml:space="preserve"> refers to the tactical actions plans to create a relatable dynamic between reliability of concepts of quality inter-reliability and intra-reliability </w:t>
      </w:r>
      <w:sdt>
        <w:sdtPr>
          <w:id w:val="-828984955"/>
          <w:citation/>
        </w:sdtPr>
        <w:sdtEndPr/>
        <w:sdtContent>
          <w:r w:rsidR="00F87A81">
            <w:fldChar w:fldCharType="begin"/>
          </w:r>
          <w:r w:rsidR="00F87A81">
            <w:instrText xml:space="preserve"> CITATION Iva17 \l 1033 </w:instrText>
          </w:r>
          <w:r w:rsidR="00F87A81">
            <w:fldChar w:fldCharType="separate"/>
          </w:r>
          <w:r w:rsidR="00F87A81">
            <w:rPr>
              <w:noProof/>
            </w:rPr>
            <w:t>(Ivashchenko, et al., 2017)</w:t>
          </w:r>
          <w:r w:rsidR="00F87A81">
            <w:fldChar w:fldCharType="end"/>
          </w:r>
        </w:sdtContent>
      </w:sdt>
      <w:r w:rsidR="00F87A81">
        <w:t>.</w:t>
      </w:r>
    </w:p>
    <w:p w:rsidR="003D22EC" w:rsidRDefault="008F589D" w:rsidP="003D22EC">
      <w:pPr>
        <w:ind w:firstLine="720"/>
      </w:pPr>
      <w:r>
        <w:t>The research seeks to illustrate the pattern between physical activity in the school and their relevance to children’s locomotive skills and object control skills</w:t>
      </w:r>
      <w:r w:rsidR="0053093C">
        <w:t xml:space="preserve"> during times during the day that presented as peak opportunities for physical activity</w:t>
      </w:r>
      <w:r>
        <w:t xml:space="preserve">. Locomotive skills range from hopping, skipping, jumping, horizontal leap, jogging, and sprinting. Object control skills include the physical activities that involve control of physical gadgets in their work out. The research study analyzed the relationship dynamic between the fundamental movement skill and the moderate-to-vigorous physical activity measurement in children studying in low-income communities during and after their school day. </w:t>
      </w:r>
      <w:r w:rsidR="004F5501">
        <w:t>They sought an answer to the question; what is the relationship behind fundamental movement skills and physical activity among children living in low-income communities?</w:t>
      </w:r>
      <w:bookmarkStart w:id="0" w:name="_GoBack"/>
      <w:bookmarkEnd w:id="0"/>
    </w:p>
    <w:p w:rsidR="008F589D" w:rsidRDefault="00611D46" w:rsidP="00611D46">
      <w:pPr>
        <w:autoSpaceDE w:val="0"/>
        <w:autoSpaceDN w:val="0"/>
        <w:adjustRightInd w:val="0"/>
        <w:ind w:firstLine="720"/>
        <w:rPr>
          <w:rFonts w:cs="Times New Roman"/>
          <w:szCs w:val="24"/>
        </w:rPr>
      </w:pPr>
      <w:r>
        <w:rPr>
          <w:rFonts w:cs="Times New Roman"/>
          <w:szCs w:val="24"/>
        </w:rPr>
        <w:t xml:space="preserve">Ethical </w:t>
      </w:r>
      <w:r w:rsidR="008F589D" w:rsidRPr="00611D46">
        <w:rPr>
          <w:rFonts w:cs="Times New Roman"/>
          <w:szCs w:val="24"/>
        </w:rPr>
        <w:t>approval</w:t>
      </w:r>
      <w:r>
        <w:rPr>
          <w:rFonts w:cs="Times New Roman"/>
          <w:szCs w:val="24"/>
        </w:rPr>
        <w:t xml:space="preserve"> </w:t>
      </w:r>
      <w:r w:rsidR="008F589D" w:rsidRPr="00611D46">
        <w:rPr>
          <w:rFonts w:cs="Times New Roman"/>
          <w:szCs w:val="24"/>
        </w:rPr>
        <w:t xml:space="preserve">for the </w:t>
      </w:r>
      <w:r>
        <w:rPr>
          <w:rFonts w:cs="Times New Roman"/>
          <w:szCs w:val="24"/>
        </w:rPr>
        <w:t xml:space="preserve">research </w:t>
      </w:r>
      <w:r w:rsidR="008F589D" w:rsidRPr="00611D46">
        <w:rPr>
          <w:rFonts w:cs="Times New Roman"/>
          <w:szCs w:val="24"/>
        </w:rPr>
        <w:t xml:space="preserve">was </w:t>
      </w:r>
      <w:r>
        <w:rPr>
          <w:rFonts w:cs="Times New Roman"/>
          <w:szCs w:val="24"/>
        </w:rPr>
        <w:t xml:space="preserve">granted by the Human Research Ethics </w:t>
      </w:r>
      <w:r w:rsidR="008F589D" w:rsidRPr="00611D46">
        <w:rPr>
          <w:rFonts w:cs="Times New Roman"/>
          <w:szCs w:val="24"/>
        </w:rPr>
        <w:t>Committees of the Uni</w:t>
      </w:r>
      <w:r>
        <w:rPr>
          <w:rFonts w:cs="Times New Roman"/>
          <w:szCs w:val="24"/>
        </w:rPr>
        <w:t xml:space="preserve">versity of Newcastle, Australia </w:t>
      </w:r>
      <w:r w:rsidR="008F589D" w:rsidRPr="00611D46">
        <w:rPr>
          <w:rFonts w:cs="Times New Roman"/>
          <w:szCs w:val="24"/>
        </w:rPr>
        <w:t>and the New South Wales (NSW) Department of Education</w:t>
      </w:r>
      <w:r>
        <w:rPr>
          <w:rFonts w:cs="Times New Roman"/>
          <w:szCs w:val="24"/>
        </w:rPr>
        <w:t xml:space="preserve"> </w:t>
      </w:r>
      <w:r w:rsidR="008F589D" w:rsidRPr="00611D46">
        <w:rPr>
          <w:rFonts w:cs="Times New Roman"/>
          <w:szCs w:val="24"/>
        </w:rPr>
        <w:t>and Communities</w:t>
      </w:r>
      <w:r>
        <w:rPr>
          <w:rFonts w:cs="Times New Roman"/>
          <w:szCs w:val="24"/>
        </w:rPr>
        <w:t xml:space="preserve">. </w:t>
      </w:r>
      <w:r w:rsidR="008E6D3C">
        <w:rPr>
          <w:rFonts w:cs="Times New Roman"/>
          <w:szCs w:val="24"/>
        </w:rPr>
        <w:t>The research team adhered to the protocols behind REB, hence the ethical clearance obtained was from a Research Ethical Board.</w:t>
      </w:r>
    </w:p>
    <w:p w:rsidR="00F00B9C" w:rsidRDefault="00611D46" w:rsidP="00611D46">
      <w:pPr>
        <w:autoSpaceDE w:val="0"/>
        <w:autoSpaceDN w:val="0"/>
        <w:adjustRightInd w:val="0"/>
        <w:ind w:firstLine="720"/>
        <w:rPr>
          <w:rFonts w:cs="Times New Roman"/>
          <w:szCs w:val="24"/>
        </w:rPr>
      </w:pPr>
      <w:r>
        <w:rPr>
          <w:rFonts w:cs="Times New Roman"/>
          <w:szCs w:val="24"/>
        </w:rPr>
        <w:lastRenderedPageBreak/>
        <w:t xml:space="preserve">Girls were more competent on locomotor skills compared to boys but the boys were more involved in object control skills. The average </w:t>
      </w:r>
      <w:r w:rsidR="0053093C">
        <w:rPr>
          <w:rFonts w:cs="Times New Roman"/>
          <w:szCs w:val="24"/>
        </w:rPr>
        <w:t>for the study group was 23.9 to 31.5 for locomotor skills and 18.0 to 30.4 for object-control skills. Boys engaged in physical activities more often than girls during the study periods. Locomotor skills attributed to moderate-to-vigorous physical activity with a total significance of P=0.002 compiled from recess (P=0.108), lunchtime (P=0.075</w:t>
      </w:r>
      <w:r w:rsidR="00F00B9C">
        <w:rPr>
          <w:rFonts w:cs="Times New Roman"/>
          <w:szCs w:val="24"/>
        </w:rPr>
        <w:t>), and after-school (P=0.014). O</w:t>
      </w:r>
      <w:r w:rsidR="0053093C">
        <w:rPr>
          <w:rFonts w:cs="Times New Roman"/>
          <w:szCs w:val="24"/>
        </w:rPr>
        <w:t xml:space="preserve">bject control skill on the other hand attributed to a total MVPA of P&lt;0.001 from recess (P=0.006), lunchtime (P=0.030), and after-school (P=0.022). It can be deduced that </w:t>
      </w:r>
      <w:r w:rsidR="008E6D3C">
        <w:rPr>
          <w:rFonts w:cs="Times New Roman"/>
          <w:szCs w:val="24"/>
        </w:rPr>
        <w:t xml:space="preserve">object control skill was more significant in the MVPA of the children during lunchtime and breaks than locomotor skills. After school however provided a chance for physical activity from children who were more involved in both the locomotive skills and object control skills. </w:t>
      </w:r>
    </w:p>
    <w:p w:rsidR="00F00B9C" w:rsidRDefault="00F00B9C">
      <w:pPr>
        <w:rPr>
          <w:rFonts w:cs="Times New Roman"/>
          <w:szCs w:val="24"/>
        </w:rPr>
      </w:pPr>
      <w:r>
        <w:rPr>
          <w:rFonts w:cs="Times New Roman"/>
          <w:szCs w:val="24"/>
        </w:rPr>
        <w:br w:type="page"/>
      </w:r>
    </w:p>
    <w:sdt>
      <w:sdtPr>
        <w:rPr>
          <w:rFonts w:ascii="Times New Roman" w:eastAsiaTheme="minorHAnsi" w:hAnsi="Times New Roman" w:cs="Times New Roman"/>
          <w:color w:val="auto"/>
          <w:sz w:val="24"/>
          <w:szCs w:val="24"/>
        </w:rPr>
        <w:id w:val="-1566186830"/>
        <w:docPartObj>
          <w:docPartGallery w:val="Bibliographies"/>
          <w:docPartUnique/>
        </w:docPartObj>
      </w:sdtPr>
      <w:sdtEndPr>
        <w:rPr>
          <w:rFonts w:cstheme="minorBidi"/>
          <w:szCs w:val="22"/>
        </w:rPr>
      </w:sdtEndPr>
      <w:sdtContent>
        <w:p w:rsidR="00F00B9C" w:rsidRPr="00F00B9C" w:rsidRDefault="00F00B9C" w:rsidP="00F00B9C">
          <w:pPr>
            <w:pStyle w:val="Heading1"/>
            <w:jc w:val="center"/>
            <w:rPr>
              <w:rFonts w:ascii="Times New Roman" w:hAnsi="Times New Roman" w:cs="Times New Roman"/>
              <w:color w:val="auto"/>
              <w:sz w:val="24"/>
              <w:szCs w:val="24"/>
            </w:rPr>
          </w:pPr>
          <w:r w:rsidRPr="00F00B9C">
            <w:rPr>
              <w:rFonts w:ascii="Times New Roman" w:hAnsi="Times New Roman" w:cs="Times New Roman"/>
              <w:color w:val="auto"/>
              <w:sz w:val="24"/>
              <w:szCs w:val="24"/>
            </w:rPr>
            <w:t>References</w:t>
          </w:r>
        </w:p>
        <w:sdt>
          <w:sdtPr>
            <w:id w:val="-573587230"/>
            <w:bibliography/>
          </w:sdtPr>
          <w:sdtEndPr/>
          <w:sdtContent>
            <w:p w:rsidR="00F00B9C" w:rsidRDefault="00F00B9C" w:rsidP="00F00B9C">
              <w:pPr>
                <w:pStyle w:val="Bibliography"/>
                <w:ind w:left="720" w:hanging="720"/>
                <w:rPr>
                  <w:noProof/>
                  <w:szCs w:val="24"/>
                </w:rPr>
              </w:pPr>
              <w:r>
                <w:fldChar w:fldCharType="begin"/>
              </w:r>
              <w:r>
                <w:instrText xml:space="preserve"> BIBLIOGRAPHY </w:instrText>
              </w:r>
              <w:r>
                <w:fldChar w:fldCharType="separate"/>
              </w:r>
              <w:r>
                <w:rPr>
                  <w:noProof/>
                </w:rPr>
                <w:t xml:space="preserve">Ancoli-Israel, S., Martin, J. L., Blackwell, T., Buenever, T., Liu, L., Meltzer, L. J., . . . Taylor, D. J. (2015). he SBSM guide to actigraphy monitoring: clinical and research applications. . </w:t>
              </w:r>
              <w:r>
                <w:rPr>
                  <w:i/>
                  <w:iCs/>
                  <w:noProof/>
                </w:rPr>
                <w:t>Behavioral sleep medicine</w:t>
              </w:r>
              <w:r>
                <w:rPr>
                  <w:noProof/>
                </w:rPr>
                <w:t>, S4-S38.</w:t>
              </w:r>
            </w:p>
            <w:p w:rsidR="00F00B9C" w:rsidRDefault="00F00B9C" w:rsidP="00F00B9C">
              <w:pPr>
                <w:pStyle w:val="Bibliography"/>
                <w:ind w:left="720" w:hanging="720"/>
                <w:rPr>
                  <w:noProof/>
                </w:rPr>
              </w:pPr>
              <w:r>
                <w:rPr>
                  <w:noProof/>
                </w:rPr>
                <w:t xml:space="preserve">Crane, J. R., Naylor, P. J., Cook, R., &amp; Temple, V. A. (2015). Do perceptions of competence mediate the relationship between fundamental motor skill proficiency and physical activity levels of children in kindergarten? </w:t>
              </w:r>
              <w:r>
                <w:rPr>
                  <w:i/>
                  <w:iCs/>
                  <w:noProof/>
                </w:rPr>
                <w:t>Journal of Physical Activity and Health</w:t>
              </w:r>
              <w:r>
                <w:rPr>
                  <w:noProof/>
                </w:rPr>
                <w:t>, 954-961.</w:t>
              </w:r>
            </w:p>
            <w:p w:rsidR="00F00B9C" w:rsidRDefault="00F00B9C" w:rsidP="00F00B9C">
              <w:pPr>
                <w:pStyle w:val="Bibliography"/>
                <w:ind w:left="720" w:hanging="720"/>
                <w:rPr>
                  <w:noProof/>
                </w:rPr>
              </w:pPr>
              <w:r>
                <w:rPr>
                  <w:noProof/>
                </w:rPr>
                <w:t xml:space="preserve">Ivashchenko, O., Khudolii, O., Iermakov, S., Lochbaum, M., Cieslicka, M., Zukow, W., . . . Yermakova, T. (2017). Methodological approaches to pedagogical control of the functional and motor fitness of the girls from 7-9 grades. </w:t>
              </w:r>
              <w:r>
                <w:rPr>
                  <w:i/>
                  <w:iCs/>
                  <w:noProof/>
                </w:rPr>
                <w:t>Journal of Physical Education and Sport</w:t>
              </w:r>
              <w:r>
                <w:rPr>
                  <w:noProof/>
                </w:rPr>
                <w:t>, 254.</w:t>
              </w:r>
            </w:p>
            <w:p w:rsidR="00F00B9C" w:rsidRDefault="00F00B9C" w:rsidP="00F00B9C">
              <w:pPr>
                <w:pStyle w:val="Bibliography"/>
                <w:ind w:left="720" w:hanging="720"/>
                <w:rPr>
                  <w:noProof/>
                </w:rPr>
              </w:pPr>
              <w:r>
                <w:rPr>
                  <w:noProof/>
                </w:rPr>
                <w:t xml:space="preserve">Skotte, J., Korshoj, M., Kristiansen, J., Hanisch, C., &amp; Holtermann, A. (2014). Detection of physical activity types using triaxial accelerometers. </w:t>
              </w:r>
              <w:r>
                <w:rPr>
                  <w:i/>
                  <w:iCs/>
                  <w:noProof/>
                </w:rPr>
                <w:t>Journal of physical activity and health</w:t>
              </w:r>
              <w:r>
                <w:rPr>
                  <w:noProof/>
                </w:rPr>
                <w:t>, 76-84.</w:t>
              </w:r>
            </w:p>
            <w:p w:rsidR="00F00B9C" w:rsidRDefault="00F00B9C" w:rsidP="00F00B9C">
              <w:r>
                <w:rPr>
                  <w:b/>
                  <w:bCs/>
                  <w:noProof/>
                </w:rPr>
                <w:fldChar w:fldCharType="end"/>
              </w:r>
            </w:p>
          </w:sdtContent>
        </w:sdt>
      </w:sdtContent>
    </w:sdt>
    <w:p w:rsidR="00611D46" w:rsidRPr="00611D46" w:rsidRDefault="00611D46" w:rsidP="00611D46">
      <w:pPr>
        <w:autoSpaceDE w:val="0"/>
        <w:autoSpaceDN w:val="0"/>
        <w:adjustRightInd w:val="0"/>
        <w:ind w:firstLine="720"/>
        <w:rPr>
          <w:rFonts w:cs="Times New Roman"/>
          <w:szCs w:val="24"/>
        </w:rPr>
      </w:pPr>
    </w:p>
    <w:sectPr w:rsidR="00611D46" w:rsidRPr="00611D46" w:rsidSect="00F00B9C">
      <w:headerReference w:type="default" r:id="rId8"/>
      <w:headerReference w:type="first" r:id="rId9"/>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E06" w:rsidRDefault="00EC7E06" w:rsidP="00F00B9C">
      <w:pPr>
        <w:spacing w:line="240" w:lineRule="auto"/>
      </w:pPr>
      <w:r>
        <w:separator/>
      </w:r>
    </w:p>
  </w:endnote>
  <w:endnote w:type="continuationSeparator" w:id="0">
    <w:p w:rsidR="00EC7E06" w:rsidRDefault="00EC7E06" w:rsidP="00F00B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E06" w:rsidRDefault="00EC7E06" w:rsidP="00F00B9C">
      <w:pPr>
        <w:spacing w:line="240" w:lineRule="auto"/>
      </w:pPr>
      <w:r>
        <w:separator/>
      </w:r>
    </w:p>
  </w:footnote>
  <w:footnote w:type="continuationSeparator" w:id="0">
    <w:p w:rsidR="00EC7E06" w:rsidRDefault="00EC7E06" w:rsidP="00F00B9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B9C" w:rsidRDefault="00F00B9C">
    <w:pPr>
      <w:pStyle w:val="Header"/>
      <w:jc w:val="right"/>
    </w:pPr>
    <w:r>
      <w:t xml:space="preserve">PHYSUCAL ACTIVITY IN CHILDREN </w:t>
    </w:r>
    <w:r>
      <w:tab/>
    </w:r>
    <w:r>
      <w:tab/>
    </w:r>
    <w:sdt>
      <w:sdtPr>
        <w:id w:val="-8252046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22EC">
          <w:rPr>
            <w:noProof/>
          </w:rPr>
          <w:t>3</w:t>
        </w:r>
        <w:r>
          <w:rPr>
            <w:noProof/>
          </w:rPr>
          <w:fldChar w:fldCharType="end"/>
        </w:r>
      </w:sdtContent>
    </w:sdt>
  </w:p>
  <w:p w:rsidR="00F00B9C" w:rsidRDefault="00F00B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B9C" w:rsidRDefault="00F00B9C">
    <w:pPr>
      <w:pStyle w:val="Header"/>
      <w:jc w:val="right"/>
    </w:pPr>
    <w:r>
      <w:t>Running Head: PHYSUCAL ACTIVITY IN CHILDREN</w:t>
    </w:r>
    <w:r>
      <w:tab/>
    </w:r>
    <w:sdt>
      <w:sdtPr>
        <w:id w:val="-5642505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22EC">
          <w:rPr>
            <w:noProof/>
          </w:rPr>
          <w:t>1</w:t>
        </w:r>
        <w:r>
          <w:rPr>
            <w:noProof/>
          </w:rPr>
          <w:fldChar w:fldCharType="end"/>
        </w:r>
      </w:sdtContent>
    </w:sdt>
  </w:p>
  <w:p w:rsidR="00F00B9C" w:rsidRDefault="00F00B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F30F3"/>
    <w:multiLevelType w:val="hybridMultilevel"/>
    <w:tmpl w:val="5EE28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D75"/>
    <w:rsid w:val="0010353F"/>
    <w:rsid w:val="001226A1"/>
    <w:rsid w:val="001C7288"/>
    <w:rsid w:val="00200549"/>
    <w:rsid w:val="003C63C1"/>
    <w:rsid w:val="003D22EC"/>
    <w:rsid w:val="00494685"/>
    <w:rsid w:val="004F5501"/>
    <w:rsid w:val="00513017"/>
    <w:rsid w:val="0053093C"/>
    <w:rsid w:val="00611D46"/>
    <w:rsid w:val="00663F22"/>
    <w:rsid w:val="00765792"/>
    <w:rsid w:val="007B5E3F"/>
    <w:rsid w:val="008E6D3C"/>
    <w:rsid w:val="008F589D"/>
    <w:rsid w:val="00956BE3"/>
    <w:rsid w:val="00B81D75"/>
    <w:rsid w:val="00E20C50"/>
    <w:rsid w:val="00EA7C56"/>
    <w:rsid w:val="00EC7E06"/>
    <w:rsid w:val="00EE5F9D"/>
    <w:rsid w:val="00F00B9C"/>
    <w:rsid w:val="00F1110C"/>
    <w:rsid w:val="00F87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55FC9B-842D-4E38-B11C-6D6BFB009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00B9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35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00B9C"/>
    <w:pPr>
      <w:tabs>
        <w:tab w:val="center" w:pos="4680"/>
        <w:tab w:val="right" w:pos="9360"/>
      </w:tabs>
      <w:spacing w:line="240" w:lineRule="auto"/>
    </w:pPr>
  </w:style>
  <w:style w:type="character" w:customStyle="1" w:styleId="HeaderChar">
    <w:name w:val="Header Char"/>
    <w:basedOn w:val="DefaultParagraphFont"/>
    <w:link w:val="Header"/>
    <w:uiPriority w:val="99"/>
    <w:rsid w:val="00F00B9C"/>
  </w:style>
  <w:style w:type="paragraph" w:styleId="Footer">
    <w:name w:val="footer"/>
    <w:basedOn w:val="Normal"/>
    <w:link w:val="FooterChar"/>
    <w:uiPriority w:val="99"/>
    <w:unhideWhenUsed/>
    <w:rsid w:val="00F00B9C"/>
    <w:pPr>
      <w:tabs>
        <w:tab w:val="center" w:pos="4680"/>
        <w:tab w:val="right" w:pos="9360"/>
      </w:tabs>
      <w:spacing w:line="240" w:lineRule="auto"/>
    </w:pPr>
  </w:style>
  <w:style w:type="character" w:customStyle="1" w:styleId="FooterChar">
    <w:name w:val="Footer Char"/>
    <w:basedOn w:val="DefaultParagraphFont"/>
    <w:link w:val="Footer"/>
    <w:uiPriority w:val="99"/>
    <w:rsid w:val="00F00B9C"/>
  </w:style>
  <w:style w:type="character" w:customStyle="1" w:styleId="Heading1Char">
    <w:name w:val="Heading 1 Char"/>
    <w:basedOn w:val="DefaultParagraphFont"/>
    <w:link w:val="Heading1"/>
    <w:uiPriority w:val="9"/>
    <w:rsid w:val="00F00B9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00B9C"/>
  </w:style>
  <w:style w:type="paragraph" w:styleId="ListParagraph">
    <w:name w:val="List Paragraph"/>
    <w:basedOn w:val="Normal"/>
    <w:uiPriority w:val="34"/>
    <w:qFormat/>
    <w:rsid w:val="00F00B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416820">
      <w:bodyDiv w:val="1"/>
      <w:marLeft w:val="0"/>
      <w:marRight w:val="0"/>
      <w:marTop w:val="0"/>
      <w:marBottom w:val="0"/>
      <w:divBdr>
        <w:top w:val="none" w:sz="0" w:space="0" w:color="auto"/>
        <w:left w:val="none" w:sz="0" w:space="0" w:color="auto"/>
        <w:bottom w:val="none" w:sz="0" w:space="0" w:color="auto"/>
        <w:right w:val="none" w:sz="0" w:space="0" w:color="auto"/>
      </w:divBdr>
    </w:div>
    <w:div w:id="996572099">
      <w:bodyDiv w:val="1"/>
      <w:marLeft w:val="0"/>
      <w:marRight w:val="0"/>
      <w:marTop w:val="0"/>
      <w:marBottom w:val="0"/>
      <w:divBdr>
        <w:top w:val="none" w:sz="0" w:space="0" w:color="auto"/>
        <w:left w:val="none" w:sz="0" w:space="0" w:color="auto"/>
        <w:bottom w:val="none" w:sz="0" w:space="0" w:color="auto"/>
        <w:right w:val="none" w:sz="0" w:space="0" w:color="auto"/>
      </w:divBdr>
    </w:div>
    <w:div w:id="1335720872">
      <w:bodyDiv w:val="1"/>
      <w:marLeft w:val="0"/>
      <w:marRight w:val="0"/>
      <w:marTop w:val="0"/>
      <w:marBottom w:val="0"/>
      <w:divBdr>
        <w:top w:val="none" w:sz="0" w:space="0" w:color="auto"/>
        <w:left w:val="none" w:sz="0" w:space="0" w:color="auto"/>
        <w:bottom w:val="none" w:sz="0" w:space="0" w:color="auto"/>
        <w:right w:val="none" w:sz="0" w:space="0" w:color="auto"/>
      </w:divBdr>
    </w:div>
    <w:div w:id="1417248399">
      <w:bodyDiv w:val="1"/>
      <w:marLeft w:val="0"/>
      <w:marRight w:val="0"/>
      <w:marTop w:val="0"/>
      <w:marBottom w:val="0"/>
      <w:divBdr>
        <w:top w:val="none" w:sz="0" w:space="0" w:color="auto"/>
        <w:left w:val="none" w:sz="0" w:space="0" w:color="auto"/>
        <w:bottom w:val="none" w:sz="0" w:space="0" w:color="auto"/>
        <w:right w:val="none" w:sz="0" w:space="0" w:color="auto"/>
      </w:divBdr>
    </w:div>
    <w:div w:id="1445690566">
      <w:bodyDiv w:val="1"/>
      <w:marLeft w:val="0"/>
      <w:marRight w:val="0"/>
      <w:marTop w:val="0"/>
      <w:marBottom w:val="0"/>
      <w:divBdr>
        <w:top w:val="none" w:sz="0" w:space="0" w:color="auto"/>
        <w:left w:val="none" w:sz="0" w:space="0" w:color="auto"/>
        <w:bottom w:val="none" w:sz="0" w:space="0" w:color="auto"/>
        <w:right w:val="none" w:sz="0" w:space="0" w:color="auto"/>
      </w:divBdr>
    </w:div>
    <w:div w:id="19063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Cra15</b:Tag>
    <b:SourceType>JournalArticle</b:SourceType>
    <b:Guid>{3436CAFF-2EB0-48A5-A815-AD1D19C248A6}</b:Guid>
    <b:Title>Do perceptions of competence mediate the relationship between fundamental motor skill proficiency and physical activity levels of children in kindergarten?</b:Title>
    <b:JournalName>Journal of Physical Activity and Health</b:JournalName>
    <b:Year>2015</b:Year>
    <b:Pages>954-961</b:Pages>
    <b:Author>
      <b:Author>
        <b:NameList>
          <b:Person>
            <b:Last>Crane</b:Last>
            <b:Middle>R.</b:Middle>
            <b:First>Jeff</b:First>
          </b:Person>
          <b:Person>
            <b:Last>Naylor</b:Last>
            <b:Middle>J.</b:Middle>
            <b:First>Patti</b:First>
          </b:Person>
          <b:Person>
            <b:Last>Cook</b:Last>
            <b:First>Ryan</b:First>
          </b:Person>
          <b:Person>
            <b:Last>Temple</b:Last>
            <b:Middle>A.</b:Middle>
            <b:First>Viviene</b:First>
          </b:Person>
        </b:NameList>
      </b:Author>
    </b:Author>
    <b:RefOrder>1</b:RefOrder>
  </b:Source>
  <b:Source>
    <b:Tag>Sko14</b:Tag>
    <b:SourceType>JournalArticle</b:SourceType>
    <b:Guid>{96EE27DF-3CD1-4539-9FC0-6F63E53937A0}</b:Guid>
    <b:Title>Detection of physical activity types using triaxial accelerometers</b:Title>
    <b:JournalName>Journal of physical activity and health</b:JournalName>
    <b:Year>2014</b:Year>
    <b:Pages>76-84</b:Pages>
    <b:Author>
      <b:Author>
        <b:NameList>
          <b:Person>
            <b:Last>Skotte</b:Last>
            <b:First>Jorgen</b:First>
          </b:Person>
          <b:Person>
            <b:Last>Korshoj</b:Last>
            <b:First>Mette</b:First>
          </b:Person>
          <b:Person>
            <b:Last>Kristiansen</b:Last>
            <b:First>Jesper</b:First>
          </b:Person>
          <b:Person>
            <b:Last>Hanisch</b:Last>
            <b:First>Christiana</b:First>
          </b:Person>
          <b:Person>
            <b:Last>Holtermann</b:Last>
            <b:First>Andreas</b:First>
          </b:Person>
        </b:NameList>
      </b:Author>
    </b:Author>
    <b:RefOrder>3</b:RefOrder>
  </b:Source>
  <b:Source>
    <b:Tag>Anc15</b:Tag>
    <b:SourceType>JournalArticle</b:SourceType>
    <b:Guid>{9F976F65-2AAE-4141-A01A-52A9C5F86C11}</b:Guid>
    <b:Title>he SBSM guide to actigraphy monitoring: clinical and research applications. </b:Title>
    <b:JournalName>Behavioral sleep medicine</b:JournalName>
    <b:Year>2015</b:Year>
    <b:Pages>S4-S38</b:Pages>
    <b:Author>
      <b:Author>
        <b:NameList>
          <b:Person>
            <b:Last>Ancoli-Israel</b:Last>
            <b:First>Sonia</b:First>
          </b:Person>
          <b:Person>
            <b:Last>Martin</b:Last>
            <b:Middle>L.</b:Middle>
            <b:First>Jennifer</b:First>
          </b:Person>
          <b:Person>
            <b:Last>Blackwell</b:Last>
            <b:First>Terri</b:First>
          </b:Person>
          <b:Person>
            <b:Last>Buenever</b:Last>
            <b:First>Terri</b:First>
          </b:Person>
          <b:Person>
            <b:Last>Liu</b:Last>
            <b:First>Lianqi</b:First>
          </b:Person>
          <b:Person>
            <b:Last>Meltzer</b:Last>
            <b:Middle>J.</b:Middle>
            <b:First>Lisa</b:First>
          </b:Person>
          <b:Person>
            <b:Last>Sadeh</b:Last>
            <b:First>Avi</b:First>
          </b:Person>
          <b:Person>
            <b:Last>Spira</b:Last>
            <b:Middle>P.</b:Middle>
            <b:First>Adam</b:First>
          </b:Person>
          <b:Person>
            <b:Last>Taylor</b:Last>
            <b:Middle>J.</b:Middle>
            <b:First>Daniel</b:First>
          </b:Person>
        </b:NameList>
      </b:Author>
    </b:Author>
    <b:RefOrder>2</b:RefOrder>
  </b:Source>
  <b:Source>
    <b:Tag>Iva17</b:Tag>
    <b:SourceType>JournalArticle</b:SourceType>
    <b:Guid>{5E16C97F-F4E2-404A-B8EC-20C5DA82E436}</b:Guid>
    <b:Title>Methodological approaches to pedagogical control of the functional and motor fitness of the girls from 7-9 grades</b:Title>
    <b:JournalName>Journal of Physical Education and Sport</b:JournalName>
    <b:Year>2017</b:Year>
    <b:Pages>254</b:Pages>
    <b:Author>
      <b:Author>
        <b:NameList>
          <b:Person>
            <b:Last>Ivashchenko</b:Last>
            <b:First>Olga</b:First>
          </b:Person>
          <b:Person>
            <b:Last>Khudolii</b:Last>
            <b:First>Oleg</b:First>
          </b:Person>
          <b:Person>
            <b:Last>Iermakov</b:Last>
            <b:First>Sergii</b:First>
          </b:Person>
          <b:Person>
            <b:Last>Lochbaum</b:Last>
            <b:First>Marc</b:First>
          </b:Person>
          <b:Person>
            <b:Last>Cieslicka</b:Last>
            <b:First>Miroslawa</b:First>
          </b:Person>
          <b:Person>
            <b:Last>Zukow</b:Last>
            <b:First>Walery</b:First>
          </b:Person>
          <b:Person>
            <b:Last>Mykola</b:Last>
            <b:First>Nosko</b:First>
          </b:Person>
          <b:Person>
            <b:Last>Yermakova</b:Last>
            <b:First>Tetiana</b:First>
          </b:Person>
        </b:NameList>
      </b:Author>
    </b:Author>
    <b:RefOrder>4</b:RefOrder>
  </b:Source>
</b:Sources>
</file>

<file path=customXml/itemProps1.xml><?xml version="1.0" encoding="utf-8"?>
<ds:datastoreItem xmlns:ds="http://schemas.openxmlformats.org/officeDocument/2006/customXml" ds:itemID="{C4D805FC-2524-4805-9E44-FC3568F68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4</cp:revision>
  <dcterms:created xsi:type="dcterms:W3CDTF">2019-01-30T17:16:00Z</dcterms:created>
  <dcterms:modified xsi:type="dcterms:W3CDTF">2019-01-30T20:25:00Z</dcterms:modified>
</cp:coreProperties>
</file>